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cab718a358143d2" /><Relationship Type="http://schemas.openxmlformats.org/package/2006/relationships/metadata/core-properties" Target="/package/services/metadata/core-properties/9ae313b3478448649a0e815f9a016d35.psmdcp" Id="R360ccaf9192a441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«Патология»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Вялкова Альбина Александровна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Чеснокова Светлана Александровна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Подготовка квалифицированного врача-специалиста, обладающего системой универсальных и профессиональных компетенций, способного и готового для самостоятельной профессиональной деятельности. Освоение теоретических и практических навыков для осуществления самостоятельной работы с больными различного профиля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изучение методологических, клинических и медико-социальных основ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формирование умений и навыков самостоятельной профессиональной деятельности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изучение патогенеза и патоморфологии заболеваний человека в различных возрастных периодах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ознакомление с современными морфологическими методами патоморфологической диагностики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ознакомление с принципами организации и проведения патоморфологических исследований, а также клинико-анатомических сопоставлений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Базовый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основы исследования с учетом современных представлений о патологии; основы международной классификации болезней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собеседование;
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рассчитывать основные параметры и их производные в оптимальном режиме исследования</w:t>
            </w:r>
          </w:p>
        </w:tc>
        <w:tc>
          <w:tcPr>
            <w:tcW w:w="2587" w:type="dxa"/>
          </w:tcPr>
          <w:p w:rsidR="00B71FD5" w:rsidP="00B71FD5" w:rsidRDefault="00B71FD5">
            <w:r>
              <w:t>тестирование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навыками обследования больного</w:t>
            </w:r>
          </w:p>
        </w:tc>
        <w:tc>
          <w:tcPr>
            <w:tcW w:w="2587" w:type="dxa"/>
          </w:tcPr>
          <w:p w:rsidR="00B71FD5" w:rsidP="00B71FD5" w:rsidRDefault="00B71FD5">
            <w:r>
              <w:t>собеседование по полученным результатам исследования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Патология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Цель и задачи патологоанатомической службы. Аутопсия. Вскрытие умерших, как контроль деятельности лечебно-профилактических учреждений. Значение аутопсии, как одного из методов морфологического исследования. Эксперимент, его значении в изучении этиопатогенеза заболеваний. Виды биопсий. Исследование биопсийного и операционного материала. Возможности микроскопического исследования биопсийного материала в диагностике и изучении динамики развития патологического процесса. Описание гистологических препаратов, окрашенных различными методами. Ультраструктура клетки. Значение электронной микроскопии в диагностике заболеваний. Возможности использования молекулярно-биологических методов исследования в практической деятельности патологоанатомических отделений. Диагноз в медицине, его виды и функции. Понятие о нозологической единице. Международная статистическая классификация болезней и проблем, связанных со здоровьем (МКБ 10 пересмотра). Принципы формирования патологоанатомического диагноза. Ятрогении, содержание понятия, их классификации. Структура патологоанатомического диагноза, особенности его построения. Примеры оформления патологоанатомических диагнозов, врачебного свидетельства о смерти. Перспективы использования ИГЦХ в диагностике и способах прогнозирования течения заболеваний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Пауков В.С., Патология [Электронный ресурс] : руководство / Под ред. В. С. Паукова, М. А. Пальцева, Э. Г. Улумбекова - 2-е изд., испр. и доп. - М. : ГЭОТАР-Медиа, 2015. - 2500 с. - ISBN -- - Режим доступа: http://www.studmedlib.ru/book/06-COS-2369.html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Хаитов Р.М., Иммуногеномика и генодиагностика человека [Электронный ресурс] / Р.М. Хаитов, Л.П. Алексеев, Д.Ю. Трофимов - М. : ГЭОТАР-Медиа, 2017. - 256 с. - ISBN 978-5-9704-4139-8 - Режим доступа: https://www.rosmedlib.ru/book/ISBN9785970441398.htm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Камкин А.Г., Атлас по физиологии. В двух томах. Том 1 [Электронный ресурс] : учебное пособие / Камкин А.Г., Киселева И.С. - М. : ГЭОТАР-Медиа, 2013. - 408 с. - ISBN 978-5-9704-2418-6 - Режим доступа: https://www.rosmedlib.ru/book/ISBN9785970424186.html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Орлов Р.С., Нормальная физиология [Электронный ресурс] : учебник / Орлов Р.С., Ноздрачев А.Д. - 2-е изд., испр. и доп. - М. : ГЭОТАР-Медиа, 2010. - 832 с. - ISBN 978-5-9704-1662-4 - Режим доступа: https://www.rosmedlib.ru/book/ISBN9785970416624.html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 2016,2019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 10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Всемирная организация здравоохранения http://www.who.int/en/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Официальный сайт Союза педиатров России, разделы клинических и методических рекомендаций: http://www.pediatr-russia.ru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https://mkb-10.com/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(ВЭБС)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 http://www.rosmedlib.ru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 eLIBRARY» http://www.eLibrary.ru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1 этаж, № 11</w:t>
            </w:r>
          </w:p>
        </w:tc>
        <w:tc>
          <w:tcPr>
            <w:tcW w:w="3685" w:type="dxa"/>
          </w:tcPr>
          <w:p w:rsidR="00B71FD5" w:rsidP="005D069F" w:rsidRDefault="00917C7E">
            <w:r>
              <w:t>Лекции; Практические занятия; Контроль самостоятельной работы</w:t>
            </w:r>
          </w:p>
        </w:tc>
        <w:tc>
          <w:tcPr>
            <w:tcW w:w="6060" w:type="dxa"/>
          </w:tcPr>
          <w:p w:rsidR="00B71FD5" w:rsidP="005D069F" w:rsidRDefault="00917C7E">
            <w:r>
              <w:t>Мультимедийный комплекс – видеопроектор, экран, ноутбук; Учебная мебель на 24 посадочных мест (столы, стулья); Мебель для преподавателя (стол, стул); Учебная доска.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№№24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